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392210">
        <w:rPr>
          <w:rFonts w:ascii="Tahoma" w:hAnsi="Tahoma" w:cs="Tahoma"/>
          <w:color w:val="00B050"/>
          <w:szCs w:val="24"/>
        </w:rPr>
        <w:t>6</w:t>
      </w:r>
      <w:bookmarkStart w:id="1" w:name="_GoBack"/>
      <w:bookmarkEnd w:id="1"/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063E63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„</w:t>
      </w:r>
      <w:r w:rsidR="00B52CE6">
        <w:rPr>
          <w:rFonts w:ascii="Tahoma" w:eastAsia="Calibri" w:hAnsi="Tahoma" w:cs="Tahoma"/>
          <w:b/>
          <w:color w:val="00B050"/>
          <w:sz w:val="24"/>
          <w:szCs w:val="24"/>
        </w:rPr>
        <w:t>Inženýrská činnost, vč. vypracování nových PBŘ a podkladů, nutných k zajištění stanovisek ze strany HZS MSK, případně dotčených stavebních úřadů</w:t>
      </w:r>
      <w:r w:rsidR="009744E9">
        <w:rPr>
          <w:rFonts w:ascii="Tahoma" w:eastAsia="Calibri" w:hAnsi="Tahoma" w:cs="Tahoma"/>
          <w:b/>
          <w:color w:val="00B050"/>
          <w:sz w:val="24"/>
          <w:szCs w:val="24"/>
        </w:rPr>
        <w:t>“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>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E71" w:rsidRDefault="00A46E71" w:rsidP="00DA301C">
      <w:pPr>
        <w:spacing w:before="0" w:line="240" w:lineRule="auto"/>
      </w:pPr>
      <w:r>
        <w:separator/>
      </w:r>
    </w:p>
  </w:endnote>
  <w:endnote w:type="continuationSeparator" w:id="0">
    <w:p w:rsidR="00A46E71" w:rsidRDefault="00A46E71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E71" w:rsidRDefault="00A46E71" w:rsidP="00DA301C">
      <w:pPr>
        <w:spacing w:before="0" w:line="240" w:lineRule="auto"/>
      </w:pPr>
      <w:r>
        <w:separator/>
      </w:r>
    </w:p>
  </w:footnote>
  <w:footnote w:type="continuationSeparator" w:id="0">
    <w:p w:rsidR="00A46E71" w:rsidRDefault="00A46E71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CE6" w:rsidRDefault="00B52CE6" w:rsidP="00B52CE6">
    <w:pPr>
      <w:pStyle w:val="Zhlav"/>
      <w:jc w:val="center"/>
      <w:rPr>
        <w:noProof/>
      </w:rPr>
    </w:pPr>
    <w:r w:rsidRPr="00094E8B">
      <w:t xml:space="preserve">                                              </w:t>
    </w:r>
    <w:r w:rsidRPr="00592EE7">
      <w:rPr>
        <w:noProof/>
        <w:lang w:eastAsia="cs-CZ"/>
      </w:rPr>
      <w:drawing>
        <wp:inline distT="0" distB="0" distL="0" distR="0" wp14:anchorId="3CDE0CD7" wp14:editId="2D9F5C6A">
          <wp:extent cx="5760720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:rsidR="00B52CE6" w:rsidRPr="00702493" w:rsidRDefault="00B52CE6" w:rsidP="00B52CE6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>
      <w:rPr>
        <w:rFonts w:ascii="Tahoma" w:hAnsi="Tahoma" w:cs="Tahoma"/>
        <w:b/>
        <w:bCs/>
        <w:szCs w:val="20"/>
      </w:rPr>
      <w:t>Inženýrská činnost, vč. vypracování nových PBŘ a podkladů, nutných k zajištění stanovisek ze strany HZS MSK, případně dotčených stavebních úřadů“</w:t>
    </w:r>
  </w:p>
  <w:p w:rsidR="00DA301C" w:rsidRPr="00B52CE6" w:rsidRDefault="00DA301C" w:rsidP="00B52C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63E63"/>
    <w:rsid w:val="000D4873"/>
    <w:rsid w:val="00120E9F"/>
    <w:rsid w:val="002E5D92"/>
    <w:rsid w:val="00324683"/>
    <w:rsid w:val="00332E61"/>
    <w:rsid w:val="00345A60"/>
    <w:rsid w:val="00392210"/>
    <w:rsid w:val="003C189F"/>
    <w:rsid w:val="004C0D40"/>
    <w:rsid w:val="00640766"/>
    <w:rsid w:val="00933A9B"/>
    <w:rsid w:val="009744E9"/>
    <w:rsid w:val="00A46E71"/>
    <w:rsid w:val="00A52C65"/>
    <w:rsid w:val="00A71CCB"/>
    <w:rsid w:val="00AF43F4"/>
    <w:rsid w:val="00B52CE6"/>
    <w:rsid w:val="00CC5CE5"/>
    <w:rsid w:val="00DA301C"/>
    <w:rsid w:val="00DA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EEAC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6</cp:revision>
  <dcterms:created xsi:type="dcterms:W3CDTF">2024-09-11T09:01:00Z</dcterms:created>
  <dcterms:modified xsi:type="dcterms:W3CDTF">2024-12-12T14:25:00Z</dcterms:modified>
</cp:coreProperties>
</file>